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tulo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2 de octubre de 2026</w:t>
      </w:r>
    </w:p>
    <w:p>
      <w:pPr>
        <w:pStyle w:val="Ttulo2"/>
        <w:rPr>
          <w:sz w:val="30"/>
          <w:szCs w:val="30"/>
        </w:rPr>
      </w:pPr>
    </w:p>
    <w:p>
      <w:pPr>
        <w:pStyle w:val="Ttulo2"/>
        <w:rPr>
          <w:sz w:val="30"/>
          <w:szCs w:val="30"/>
        </w:rPr>
      </w:pPr>
      <w:r>
        <w:rPr>
          <w:sz w:val="30"/>
          <w:szCs w:val="30"/>
        </w:rPr>
        <w:t xml:space="preserve">Portugaleteko Udala</w:t>
      </w:r>
    </w:p>
    <w:p>
      <w:pPr>
        <w:pStyle w:val="Ttulo3"/>
        <w:spacing w:before="120" w:after="240"/>
        <w:jc w:val="left"/>
        <w:rPr>
          <w:sz w:val="46"/>
          <w:szCs w:val="46"/>
        </w:rPr>
      </w:pPr>
      <w:r>
        <w:rPr>
          <w:color w:val="1F1F1F"/>
          <w:sz w:val="46"/>
          <w:szCs w:val="46"/>
        </w:rPr>
        <w:t xml:space="preserve">Portugalete, bi urte gauza bera eskatzen. Nahikoa eman dugu itxaroten!</w:t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UGTtik BI URTE daramagu Portugaleteko Udalari gauza bera eskatzen.</w:t>
      </w:r>
      <w:r>
        <w:rPr>
          <w:sz w:val="20"/>
          <w:szCs w:val="20"/>
        </w:rPr>
        <w:t xml:space="preserve"> Bi urte bileraz eta proposamenez beterik, eta </w:t>
      </w:r>
      <w:r>
        <w:rPr>
          <w:b/>
          <w:bCs/>
          <w:sz w:val="20"/>
          <w:szCs w:val="20"/>
        </w:rPr>
        <w:t xml:space="preserve">erantzunak ez dira iritsi.</w:t>
      </w:r>
      <w:r>
        <w:rPr>
          <w:sz w:val="20"/>
          <w:szCs w:val="20"/>
        </w:rPr>
        <w:t xml:space="preserve"> Denbora luzea da. </w:t>
      </w:r>
      <w:r>
        <w:rPr>
          <w:b/>
          <w:bCs/>
          <w:sz w:val="20"/>
          <w:szCs w:val="20"/>
        </w:rPr>
        <w:t xml:space="preserve">Bitartean, langileek itxaroten jarraitzen dute.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Ez dira kapritxoak, eguneroko kontuak baizik. </w:t>
      </w:r>
      <w:r>
        <w:rPr>
          <w:b/>
          <w:bCs/>
          <w:sz w:val="20"/>
          <w:szCs w:val="20"/>
        </w:rPr>
        <w:t xml:space="preserve">UGTn benetako eskubideak eta lan-baldintza duinak dituzten langileak nahi ditugu.</w:t>
      </w:r>
      <w:r>
        <w:rPr>
          <w:sz w:val="20"/>
          <w:szCs w:val="20"/>
        </w:rPr>
        <w:t xml:space="preserve"> Plantillak ondo ezagutzen dituen aldarrikapenak dira hauek, eta oraindik erantzunik gabe diraute. Honengatik, hurrengoa aldarrikatzen dugu: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1999ko zaharkituta geratu den balorazioa eguneratzea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Telelana eta bigarren jarduera arautzea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Erreleboko kontratua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Posta elektroniko korporatibo langile GUZTIENTZAT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Benetan funtzionatzen duten lan poltsak eta ordezkapenak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Atzerapenik gabeko EPEak.</w:t>
      </w:r>
      <w:r>
        <w:rPr>
          <w:sz w:val="20"/>
          <w:szCs w:val="20"/>
        </w:rPr>
        <w:t xml:space="preserve"> 2022koak eta 2023koak iraungi zirela, 2025era pasatu dira eta 2024koa ez da hasi ere egin.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Barne-prestakuntza plana</w:t>
      </w:r>
      <w:r>
        <w:rPr>
          <w:sz w:val="20"/>
          <w:szCs w:val="20"/>
        </w:rPr>
        <w:t xml:space="preserve">, urteak daramatza geldituta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C2tik C1era igarotzea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Malgutasuna plantilla osoarentzat</w:t>
      </w:r>
    </w:p>
    <w:p>
      <w:pPr>
        <w:pStyle w:val="Normal"/>
        <w:spacing w:after="24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Zapaterok egindako murrizketa ezabatzea.</w:t>
      </w:r>
      <w:r>
        <w:rPr>
          <w:sz w:val="20"/>
          <w:szCs w:val="20"/>
        </w:rPr>
        <w:t xml:space="preserve"> Horretarako sistema baten bila gaude</w:t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UGTtik berdintasuna ere defendatzen dugu: funtzionarioek eta lan-kontratuko langileek ordu kopuru bera izan dezatela.</w:t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UGTn ez dugu amorerik emango. Negoziazio-mahai guztietan hau guztia defendatzen jarraituko dugu, lortu arte.</w:t>
      </w:r>
      <w:r>
        <w:rPr>
          <w:sz w:val="20"/>
          <w:szCs w:val="20"/>
        </w:rPr>
        <w:t xml:space="preserve"> Ezin dugu gehiago itxaron.</w:t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Aldarrikapen hauen artean zeinek eragiten dizu gehien? Kontatu iezaguzu.</w:t>
      </w:r>
      <w:r>
        <w:rPr>
          <w:sz w:val="20"/>
          <w:szCs w:val="20"/>
        </w:rPr>
        <w:t xml:space="preserve"> Zure parte-hartzearekin, indar handiagoa izango dugu. UGT, zurekin. Beti.</w:t>
      </w:r>
    </w:p>
    <w:p>
      <w:pPr>
        <w:pStyle w:val="Ttulo2"/>
        <w:pageBreakBefore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2 de octubre de 2026</w:t>
      </w:r>
    </w:p>
    <w:p>
      <w:pPr>
        <w:pStyle w:val="Ttulo2"/>
        <w:rPr>
          <w:sz w:val="30"/>
          <w:szCs w:val="30"/>
        </w:rPr>
      </w:pPr>
    </w:p>
    <w:p>
      <w:pPr>
        <w:pStyle w:val="Ttulo2"/>
        <w:rPr>
          <w:sz w:val="30"/>
          <w:szCs w:val="30"/>
        </w:rPr>
      </w:pPr>
      <w:r>
        <w:rPr>
          <w:sz w:val="30"/>
          <w:szCs w:val="30"/>
        </w:rPr>
        <w:t xml:space="preserve">Ayuntamiento de Portugalete</w:t>
      </w:r>
    </w:p>
    <w:p>
      <w:pPr>
        <w:pStyle w:val="Ttulo3"/>
        <w:spacing w:before="120" w:after="240"/>
        <w:jc w:val="left"/>
        <w:rPr>
          <w:sz w:val="46"/>
          <w:szCs w:val="46"/>
        </w:rPr>
      </w:pPr>
      <w:r>
        <w:rPr>
          <w:color w:val="1F1F1F"/>
          <w:sz w:val="46"/>
          <w:szCs w:val="46"/>
        </w:rPr>
        <w:t xml:space="preserve">Portugalete, dos años pidiendo lo mismo. ¡Ya basta de esperar!</w:t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Desde UGT llevamos DOS AÑOS reclamando lo mismo al Ayuntamiento de Portugalete.</w:t>
      </w:r>
      <w:r>
        <w:rPr>
          <w:sz w:val="20"/>
          <w:szCs w:val="20"/>
        </w:rPr>
        <w:t xml:space="preserve"> Dos años de reuniones y propuestas, y </w:t>
      </w:r>
      <w:r>
        <w:rPr>
          <w:b/>
          <w:bCs/>
          <w:sz w:val="20"/>
          <w:szCs w:val="20"/>
        </w:rPr>
        <w:t xml:space="preserve">las respuestas no llegan. Mientras tanto, la plantilla sigue esperando.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No son caprichos, son cuestiones del día a día. </w:t>
      </w:r>
      <w:r>
        <w:rPr>
          <w:b/>
          <w:bCs/>
          <w:sz w:val="20"/>
          <w:szCs w:val="20"/>
        </w:rPr>
        <w:t xml:space="preserve">En UGT queremos una plantilla con derechos reales y condiciones dignas.</w:t>
      </w:r>
      <w:r>
        <w:rPr>
          <w:sz w:val="20"/>
          <w:szCs w:val="20"/>
        </w:rPr>
        <w:t xml:space="preserve"> Son reivindicaciones que la plantilla conoce bien y que siguen sin respuesta. Por eso reivindicamos: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Actualizar la valoración de 1999</w:t>
      </w:r>
      <w:r>
        <w:rPr>
          <w:sz w:val="20"/>
          <w:szCs w:val="20"/>
        </w:rPr>
        <w:t xml:space="preserve">, que se ha quedado antigua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Regular el teletrabajo y la segunda actividad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Contrato relevo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Correo corporativo para TODAS las personas trabajadoras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Bolsas de trabajo y sustituciones que funcionen de verdad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OPES sin retrasos.</w:t>
      </w:r>
      <w:r>
        <w:rPr>
          <w:sz w:val="20"/>
          <w:szCs w:val="20"/>
        </w:rPr>
        <w:t xml:space="preserve"> Las de 2022 y 2023 caducaron y se han pasado a 2025 y la de 2024 ni siquiera se ha iniciado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Plan de formación interno</w:t>
      </w:r>
      <w:r>
        <w:rPr>
          <w:sz w:val="20"/>
          <w:szCs w:val="20"/>
        </w:rPr>
        <w:t xml:space="preserve">, parado desde hace años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Paso de C2 a C1</w:t>
      </w:r>
    </w:p>
    <w:p>
      <w:pPr>
        <w:pStyle w:val="Normal"/>
        <w:spacing w:after="6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Flexibilidad para toda la plantilla</w:t>
      </w:r>
    </w:p>
    <w:p>
      <w:pPr>
        <w:pStyle w:val="Normal"/>
        <w:spacing w:after="240"/>
        <w:ind w:left="360" w:hanging="24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Eliminar el recorte de Zapatero.</w:t>
      </w:r>
      <w:r>
        <w:rPr>
          <w:sz w:val="20"/>
          <w:szCs w:val="20"/>
        </w:rPr>
        <w:t xml:space="preserve"> Buscamos un sistema para conseguirlo</w:t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Desde UGT defendemos también la igualdad en el disfrute de horas entre personal funcionario y laboral.</w:t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En UGT no vamos a bajar los brazos. Seguiremos defendiéndolo en cada mesa de negociación hasta conseguirlo.</w:t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¿Cuál de estas reivindicaciones te afecta más? Cuéntanoslo.</w:t>
      </w:r>
      <w:r>
        <w:rPr>
          <w:sz w:val="20"/>
          <w:szCs w:val="20"/>
        </w:rPr>
        <w:t xml:space="preserve"> Con tu participación, tenemos más fuerza. UGT, contigo. Siempre.</w:t>
      </w:r>
    </w:p>
    <w:sectPr w:rsidR="00B41DDD">
      <w:headerReference w:type="default" r:id="rId6"/>
      <w:footerReference w:type="default" r:id="rId7"/>
      <w:pgSz w:w="11906" w:h="16838"/>
      <w:pgMar w:top="2977" w:right="707" w:bottom="1985" w:left="2268" w:header="851" w:footer="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D18A9" w14:textId="77777777" w:rsidR="000A7B1C" w:rsidRDefault="000A7B1C">
      <w:pPr>
        <w:spacing w:after="0" w:line="240" w:lineRule="auto"/>
      </w:pPr>
      <w:r>
        <w:separator/>
      </w:r>
    </w:p>
  </w:endnote>
  <w:endnote w:type="continuationSeparator" w:id="0">
    <w:p w14:paraId="77EDEBC6" w14:textId="77777777" w:rsidR="000A7B1C" w:rsidRDefault="000A7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123"/>
      <w:gridCol w:w="3933"/>
      <w:gridCol w:w="574"/>
    </w:tblGrid>
    <w:tr w:rsidR="00EC400C" w14:paraId="68306A54" w14:textId="77777777">
      <w:tblPrEx>
        <w:tblCellMar>
          <w:top w:w="0" w:type="dxa"/>
          <w:bottom w:w="0" w:type="dxa"/>
        </w:tblCellMar>
      </w:tblPrEx>
      <w:trPr>
        <w:trHeight w:val="116"/>
      </w:trPr>
      <w:tc>
        <w:tcPr>
          <w:tcW w:w="9630" w:type="dxa"/>
          <w:gridSpan w:val="3"/>
          <w:tcMar>
            <w:top w:w="0" w:type="dxa"/>
            <w:left w:w="0" w:type="dxa"/>
            <w:bottom w:w="0" w:type="dxa"/>
            <w:right w:w="0" w:type="dxa"/>
          </w:tcMar>
        </w:tcPr>
        <w:p w14:paraId="68306A53" w14:textId="77777777" w:rsidR="000A7B1C" w:rsidRDefault="000A7B1C">
          <w:pPr>
            <w:tabs>
              <w:tab w:val="left" w:pos="142"/>
              <w:tab w:val="center" w:pos="4252"/>
              <w:tab w:val="right" w:pos="8504"/>
            </w:tabs>
            <w:spacing w:after="0" w:line="240" w:lineRule="auto"/>
            <w:rPr>
              <w:rFonts w:cs="Arial"/>
              <w:color w:val="584446"/>
              <w:sz w:val="25"/>
              <w:szCs w:val="25"/>
            </w:rPr>
          </w:pPr>
          <w:r>
            <w:rPr>
              <w:rFonts w:cs="Arial"/>
              <w:color w:val="584446"/>
              <w:sz w:val="25"/>
              <w:szCs w:val="25"/>
            </w:rPr>
            <w:t>UGT-</w:t>
          </w:r>
          <w:proofErr w:type="spellStart"/>
          <w:r>
            <w:rPr>
              <w:rFonts w:cs="Arial"/>
              <w:color w:val="584446"/>
              <w:sz w:val="25"/>
              <w:szCs w:val="25"/>
            </w:rPr>
            <w:t>Zerbitzu</w:t>
          </w:r>
          <w:proofErr w:type="spellEnd"/>
          <w:r>
            <w:rPr>
              <w:rFonts w:cs="Arial"/>
              <w:color w:val="584446"/>
              <w:sz w:val="25"/>
              <w:szCs w:val="25"/>
            </w:rPr>
            <w:t xml:space="preserve"> </w:t>
          </w:r>
          <w:proofErr w:type="spellStart"/>
          <w:r>
            <w:rPr>
              <w:rFonts w:cs="Arial"/>
              <w:color w:val="584446"/>
              <w:sz w:val="25"/>
              <w:szCs w:val="25"/>
            </w:rPr>
            <w:t>Publikoak</w:t>
          </w:r>
          <w:proofErr w:type="spellEnd"/>
        </w:p>
      </w:tc>
    </w:tr>
    <w:tr w:rsidR="00EC400C" w14:paraId="68306A56" w14:textId="77777777">
      <w:tblPrEx>
        <w:tblCellMar>
          <w:top w:w="0" w:type="dxa"/>
          <w:bottom w:w="0" w:type="dxa"/>
        </w:tblCellMar>
      </w:tblPrEx>
      <w:trPr>
        <w:trHeight w:val="284"/>
      </w:trPr>
      <w:tc>
        <w:tcPr>
          <w:tcW w:w="9630" w:type="dxa"/>
          <w:gridSpan w:val="3"/>
          <w:tcMar>
            <w:top w:w="0" w:type="dxa"/>
            <w:left w:w="0" w:type="dxa"/>
            <w:bottom w:w="0" w:type="dxa"/>
            <w:right w:w="0" w:type="dxa"/>
          </w:tcMar>
        </w:tcPr>
        <w:p w14:paraId="68306A55" w14:textId="77777777" w:rsidR="000A7B1C" w:rsidRDefault="000A7B1C">
          <w:pPr>
            <w:tabs>
              <w:tab w:val="left" w:pos="142"/>
              <w:tab w:val="center" w:pos="4252"/>
              <w:tab w:val="right" w:pos="8504"/>
            </w:tabs>
            <w:spacing w:after="0" w:line="240" w:lineRule="auto"/>
            <w:ind w:left="-2"/>
          </w:pPr>
          <w:r>
            <w:rPr>
              <w:rFonts w:cs="Arial"/>
              <w:color w:val="7B6469"/>
              <w:sz w:val="20"/>
              <w:szCs w:val="20"/>
            </w:rPr>
            <w:t xml:space="preserve">Colón de </w:t>
          </w:r>
          <w:proofErr w:type="spellStart"/>
          <w:r>
            <w:rPr>
              <w:rFonts w:cs="Arial"/>
              <w:color w:val="7B6469"/>
              <w:sz w:val="20"/>
              <w:szCs w:val="20"/>
            </w:rPr>
            <w:t>Larreátegui</w:t>
          </w:r>
          <w:proofErr w:type="spellEnd"/>
          <w:r>
            <w:rPr>
              <w:rFonts w:cs="Arial"/>
              <w:color w:val="7B6469"/>
              <w:sz w:val="20"/>
              <w:szCs w:val="20"/>
            </w:rPr>
            <w:t>, 46 BIS 7º -48011 BILBAO. Tel.: +34 944 255 612</w:t>
          </w:r>
        </w:p>
      </w:tc>
    </w:tr>
    <w:tr w:rsidR="00EC400C" w14:paraId="68306A5B" w14:textId="77777777">
      <w:tblPrEx>
        <w:tblCellMar>
          <w:top w:w="0" w:type="dxa"/>
          <w:bottom w:w="0" w:type="dxa"/>
        </w:tblCellMar>
      </w:tblPrEx>
      <w:trPr>
        <w:trHeight w:val="143"/>
      </w:trPr>
      <w:tc>
        <w:tcPr>
          <w:tcW w:w="5123" w:type="dxa"/>
          <w:tcMar>
            <w:top w:w="0" w:type="dxa"/>
            <w:left w:w="70" w:type="dxa"/>
            <w:bottom w:w="0" w:type="dxa"/>
            <w:right w:w="70" w:type="dxa"/>
          </w:tcMar>
        </w:tcPr>
        <w:p w14:paraId="68306A57" w14:textId="77777777" w:rsidR="000A7B1C" w:rsidRDefault="000A7B1C">
          <w:pPr>
            <w:tabs>
              <w:tab w:val="left" w:pos="142"/>
              <w:tab w:val="center" w:pos="4252"/>
              <w:tab w:val="right" w:pos="8504"/>
            </w:tabs>
            <w:spacing w:after="0" w:line="240" w:lineRule="auto"/>
            <w:ind w:left="-2"/>
          </w:pPr>
          <w:hyperlink r:id="rId1" w:history="1">
            <w:r>
              <w:rPr>
                <w:rStyle w:val="Hipervnculo"/>
                <w:sz w:val="32"/>
                <w:szCs w:val="32"/>
              </w:rPr>
              <w:t>www.euskadi.ugt-sp.es</w:t>
            </w:r>
          </w:hyperlink>
          <w:r>
            <w:rPr>
              <w:noProof/>
              <w:sz w:val="32"/>
              <w:szCs w:val="32"/>
            </w:rPr>
            <w:drawing>
              <wp:anchor distT="0" distB="0" distL="114300" distR="114300" simplePos="0" relativeHeight="251663360" behindDoc="0" locked="0" layoutInCell="1" allowOverlap="1" wp14:anchorId="68306A4E" wp14:editId="68306A4F">
                <wp:simplePos x="0" y="0"/>
                <wp:positionH relativeFrom="page">
                  <wp:posOffset>1271</wp:posOffset>
                </wp:positionH>
                <wp:positionV relativeFrom="page">
                  <wp:posOffset>0</wp:posOffset>
                </wp:positionV>
                <wp:extent cx="215999" cy="215999"/>
                <wp:effectExtent l="0" t="0" r="0" b="0"/>
                <wp:wrapSquare wrapText="bothSides"/>
                <wp:docPr id="1621356883" name="Imagen 24" descr="Un dibujo de un perro&#10;&#10;El contenido generado por IA puede ser incorrec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999" cy="2159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sz w:val="32"/>
              <w:szCs w:val="32"/>
            </w:rPr>
            <w:drawing>
              <wp:anchor distT="0" distB="0" distL="114300" distR="114300" simplePos="0" relativeHeight="251664384" behindDoc="0" locked="0" layoutInCell="1" allowOverlap="1" wp14:anchorId="68306A50" wp14:editId="68306A51">
                <wp:simplePos x="0" y="0"/>
                <wp:positionH relativeFrom="page">
                  <wp:posOffset>252731</wp:posOffset>
                </wp:positionH>
                <wp:positionV relativeFrom="page">
                  <wp:posOffset>3813</wp:posOffset>
                </wp:positionV>
                <wp:extent cx="215999" cy="215999"/>
                <wp:effectExtent l="0" t="0" r="0" b="0"/>
                <wp:wrapSquare wrapText="bothSides"/>
                <wp:docPr id="2065481721" name="Imagen 24" descr="Icono&#10;&#10;El contenido generado por IA puede ser incorrec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999" cy="2159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sz w:val="32"/>
              <w:szCs w:val="32"/>
            </w:rPr>
            <w:drawing>
              <wp:anchor distT="0" distB="0" distL="114300" distR="114300" simplePos="0" relativeHeight="251665408" behindDoc="0" locked="0" layoutInCell="1" allowOverlap="1" wp14:anchorId="68306A52" wp14:editId="68306A53">
                <wp:simplePos x="0" y="0"/>
                <wp:positionH relativeFrom="page">
                  <wp:posOffset>501018</wp:posOffset>
                </wp:positionH>
                <wp:positionV relativeFrom="page">
                  <wp:posOffset>3813</wp:posOffset>
                </wp:positionV>
                <wp:extent cx="215999" cy="215999"/>
                <wp:effectExtent l="0" t="0" r="0" b="0"/>
                <wp:wrapSquare wrapText="bothSides"/>
                <wp:docPr id="699797598" name="Imagen 24" descr="Icono&#10;&#10;El contenido generado por IA puede ser incorrec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999" cy="2159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33" w:type="dxa"/>
          <w:tcMar>
            <w:top w:w="0" w:type="dxa"/>
            <w:left w:w="70" w:type="dxa"/>
            <w:bottom w:w="0" w:type="dxa"/>
            <w:right w:w="70" w:type="dxa"/>
          </w:tcMar>
        </w:tcPr>
        <w:p w14:paraId="68306A58" w14:textId="77777777" w:rsidR="000A7B1C" w:rsidRDefault="000A7B1C">
          <w:pPr>
            <w:tabs>
              <w:tab w:val="left" w:pos="142"/>
              <w:tab w:val="center" w:pos="4252"/>
              <w:tab w:val="right" w:pos="8504"/>
            </w:tabs>
            <w:spacing w:after="0" w:line="240" w:lineRule="auto"/>
            <w:rPr>
              <w:rFonts w:cs="Arial"/>
              <w:color w:val="E4002B"/>
              <w:sz w:val="26"/>
              <w:szCs w:val="26"/>
            </w:rPr>
          </w:pPr>
        </w:p>
      </w:tc>
      <w:tc>
        <w:tcPr>
          <w:tcW w:w="574" w:type="dxa"/>
          <w:tcMar>
            <w:top w:w="0" w:type="dxa"/>
            <w:left w:w="70" w:type="dxa"/>
            <w:bottom w:w="0" w:type="dxa"/>
            <w:right w:w="70" w:type="dxa"/>
          </w:tcMar>
        </w:tcPr>
        <w:p w14:paraId="68306A59" w14:textId="77777777" w:rsidR="000A7B1C" w:rsidRDefault="000A7B1C">
          <w:pPr>
            <w:tabs>
              <w:tab w:val="left" w:pos="142"/>
              <w:tab w:val="center" w:pos="4252"/>
              <w:tab w:val="right" w:pos="8504"/>
            </w:tabs>
            <w:spacing w:after="0" w:line="240" w:lineRule="auto"/>
            <w:rPr>
              <w:rFonts w:cs="Calibri"/>
              <w:color w:val="7B6469"/>
              <w:sz w:val="18"/>
              <w:szCs w:val="18"/>
            </w:rPr>
          </w:pPr>
        </w:p>
        <w:p w14:paraId="68306A5A" w14:textId="77777777" w:rsidR="000A7B1C" w:rsidRDefault="000A7B1C">
          <w:pPr>
            <w:tabs>
              <w:tab w:val="left" w:pos="142"/>
              <w:tab w:val="center" w:pos="4252"/>
              <w:tab w:val="right" w:pos="8504"/>
            </w:tabs>
            <w:spacing w:after="0" w:line="240" w:lineRule="auto"/>
          </w:pPr>
          <w:r>
            <w:rPr>
              <w:rFonts w:cs="Calibri"/>
              <w:color w:val="7B6469"/>
              <w:sz w:val="18"/>
              <w:szCs w:val="18"/>
            </w:rPr>
            <w:fldChar w:fldCharType="begin"/>
          </w:r>
          <w:r>
            <w:rPr>
              <w:rFonts w:cs="Calibri"/>
              <w:color w:val="7B6469"/>
              <w:sz w:val="18"/>
              <w:szCs w:val="18"/>
            </w:rPr>
            <w:instrText xml:space="preserve"> PAGE </w:instrText>
          </w:r>
          <w:r>
            <w:rPr>
              <w:rFonts w:cs="Calibri"/>
              <w:color w:val="7B6469"/>
              <w:sz w:val="18"/>
              <w:szCs w:val="18"/>
            </w:rPr>
            <w:fldChar w:fldCharType="separate"/>
          </w:r>
          <w:r>
            <w:rPr>
              <w:rFonts w:cs="Calibri"/>
              <w:color w:val="7B6469"/>
              <w:sz w:val="18"/>
              <w:szCs w:val="18"/>
            </w:rPr>
            <w:t>1</w:t>
          </w:r>
          <w:r>
            <w:rPr>
              <w:rFonts w:cs="Calibri"/>
              <w:color w:val="7B6469"/>
              <w:sz w:val="18"/>
              <w:szCs w:val="18"/>
            </w:rPr>
            <w:fldChar w:fldCharType="end"/>
          </w:r>
        </w:p>
      </w:tc>
    </w:tr>
  </w:tbl>
  <w:p w14:paraId="68306A5C" w14:textId="77777777" w:rsidR="000A7B1C" w:rsidRDefault="000A7B1C">
    <w:pPr>
      <w:tabs>
        <w:tab w:val="left" w:pos="284"/>
        <w:tab w:val="right" w:pos="9637"/>
      </w:tabs>
      <w:spacing w:line="264" w:lineRule="auto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536FA" w14:textId="77777777" w:rsidR="000A7B1C" w:rsidRDefault="000A7B1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395391" w14:textId="77777777" w:rsidR="000A7B1C" w:rsidRDefault="000A7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6A50" w14:textId="77777777" w:rsidR="000A7B1C" w:rsidRDefault="000A7B1C">
    <w:pPr>
      <w:pStyle w:val="Encabezado"/>
      <w:spacing w:line="240" w:lineRule="aut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306A48" wp14:editId="68306A49">
          <wp:simplePos x="0" y="0"/>
          <wp:positionH relativeFrom="page">
            <wp:align>left</wp:align>
          </wp:positionH>
          <wp:positionV relativeFrom="paragraph">
            <wp:posOffset>-540382</wp:posOffset>
          </wp:positionV>
          <wp:extent cx="902969" cy="11253465"/>
          <wp:effectExtent l="0" t="0" r="0" b="5085"/>
          <wp:wrapNone/>
          <wp:docPr id="2108178743" name="Imagen 1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2969" cy="112534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noProof/>
        <w:color w:val="C0504D"/>
        <w:sz w:val="56"/>
        <w:szCs w:val="56"/>
      </w:rPr>
      <w:drawing>
        <wp:anchor distT="0" distB="0" distL="114300" distR="114300" simplePos="0" relativeHeight="251660288" behindDoc="1" locked="0" layoutInCell="1" allowOverlap="1" wp14:anchorId="68306A4A" wp14:editId="68306A4B">
          <wp:simplePos x="0" y="0"/>
          <wp:positionH relativeFrom="margin">
            <wp:posOffset>-180978</wp:posOffset>
          </wp:positionH>
          <wp:positionV relativeFrom="paragraph">
            <wp:posOffset>56519</wp:posOffset>
          </wp:positionV>
          <wp:extent cx="2955596" cy="1019171"/>
          <wp:effectExtent l="0" t="0" r="0" b="0"/>
          <wp:wrapNone/>
          <wp:docPr id="604128511" name="Imagen 1700615550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55596" cy="10191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color w:val="C0504D"/>
        <w:sz w:val="56"/>
        <w:szCs w:val="56"/>
      </w:rPr>
      <w:t>UGT INFORMA</w:t>
    </w:r>
  </w:p>
  <w:p w14:paraId="68306A51" w14:textId="77777777" w:rsidR="000A7B1C" w:rsidRDefault="000A7B1C">
    <w:pPr>
      <w:pStyle w:val="Encabezado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306A4C" wp14:editId="68306A4D">
              <wp:simplePos x="0" y="0"/>
              <wp:positionH relativeFrom="page">
                <wp:posOffset>180337</wp:posOffset>
              </wp:positionH>
              <wp:positionV relativeFrom="page">
                <wp:posOffset>540382</wp:posOffset>
              </wp:positionV>
              <wp:extent cx="565154" cy="6230621"/>
              <wp:effectExtent l="0" t="0" r="6346" b="17779"/>
              <wp:wrapNone/>
              <wp:docPr id="2055261796" name="Cuadro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4" cy="6230621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306A54" w14:textId="77777777" w:rsidR="000A7B1C" w:rsidRDefault="000A7B1C" w:rsidP="00B41DDD">
                          <w:pPr>
                            <w:jc w:val="center"/>
                            <w:rPr>
                              <w:color w:val="FFFFFF"/>
                              <w:sz w:val="72"/>
                              <w:szCs w:val="72"/>
                            </w:rPr>
                          </w:pPr>
                          <w:r>
                            <w:rPr>
                              <w:color w:val="FFFFFF"/>
                              <w:sz w:val="72"/>
                              <w:szCs w:val="72"/>
                            </w:rPr>
                            <w:t>UGT INFORMA</w:t>
                          </w:r>
                        </w:p>
                      </w:txbxContent>
                    </wps:txbx>
                    <wps:bodyPr vert="vert270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06A4C" id="_x0000_t202" coordsize="21600,21600" o:spt="202" path="m,l,21600r21600,l21600,xe">
              <v:stroke joinstyle="miter"/>
              <v:path gradientshapeok="t" o:connecttype="rect"/>
            </v:shapetype>
            <v:shape id="Cuadro de texto 29" o:spid="_x0000_s1026" type="#_x0000_t202" style="position:absolute;left:0;text-align:left;margin-left:14.2pt;margin-top:42.55pt;width:44.5pt;height:490.6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" filled="f" stroked="f">
              <v:textbox style="layout-flow:vertical;mso-layout-flow-alt:bottom-to-top" inset="0,0,0,0">
                <w:txbxContent>
                  <w:p w14:paraId="68306A54" w14:textId="77777777" w:rsidR="000A7B1C" w:rsidRDefault="000A7B1C" w:rsidP="00B41DDD">
                    <w:pPr>
                      <w:jc w:val="center"/>
                      <w:rPr>
                        <w:color w:val="FFFFFF"/>
                        <w:sz w:val="72"/>
                        <w:szCs w:val="72"/>
                      </w:rPr>
                    </w:pPr>
                    <w:r>
                      <w:rPr>
                        <w:color w:val="FFFFFF"/>
                        <w:sz w:val="72"/>
                        <w:szCs w:val="72"/>
                      </w:rPr>
                      <w:t>UGT INFORMA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D3A64"/>
    <w:rsid w:val="000A7B1C"/>
    <w:rsid w:val="00B41DDD"/>
    <w:rsid w:val="00ED3A64"/>
    <w:rsid w:val="00F6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06A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40" w:line="276" w:lineRule="auto"/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spacing w:line="240" w:lineRule="auto"/>
      <w:jc w:val="left"/>
      <w:outlineLvl w:val="0"/>
    </w:pPr>
    <w:rPr>
      <w:rFonts w:cs="Arial"/>
      <w:bCs/>
      <w:kern w:val="3"/>
      <w:sz w:val="40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line="240" w:lineRule="auto"/>
      <w:jc w:val="left"/>
      <w:outlineLvl w:val="1"/>
    </w:pPr>
    <w:rPr>
      <w:rFonts w:cs="Arial"/>
      <w:bCs/>
      <w:iCs/>
      <w:sz w:val="32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rFonts w:cs="Arial"/>
      <w:b/>
      <w:bCs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868F98"/>
      <w:sz w:val="18"/>
    </w:rPr>
  </w:style>
  <w:style w:type="character" w:styleId="Nmerodepgina">
    <w:name w:val="page number"/>
    <w:rPr>
      <w:rFonts w:ascii="Arial" w:hAnsi="Arial"/>
      <w:color w:val="868F98"/>
      <w:sz w:val="20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styleId="Refdecomentario">
    <w:name w:val="annotation reference"/>
    <w:rPr>
      <w:sz w:val="16"/>
      <w:szCs w:val="16"/>
    </w:rPr>
  </w:style>
  <w:style w:type="paragraph" w:styleId="Textocomentario">
    <w:name w:val="annotation text"/>
    <w:basedOn w:val="Normal"/>
    <w:rPr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Ttulo2Car">
    <w:name w:val="Título 2 Car"/>
    <w:uiPriority w:val="9"/>
    <w:rPr>
      <w:rFonts w:ascii="Arial" w:hAnsi="Arial" w:cs="Arial"/>
      <w:bCs/>
      <w:iCs/>
      <w:sz w:val="32"/>
      <w:szCs w:val="28"/>
    </w:rPr>
  </w:style>
  <w:style w:type="character" w:customStyle="1" w:styleId="Ttulo1Car">
    <w:name w:val="Título 1 Car"/>
    <w:rPr>
      <w:rFonts w:ascii="Calibri" w:hAnsi="Calibri" w:cs="Arial"/>
      <w:bCs/>
      <w:kern w:val="3"/>
      <w:sz w:val="40"/>
      <w:szCs w:val="32"/>
    </w:rPr>
  </w:style>
  <w:style w:type="character" w:customStyle="1" w:styleId="EncabezadoCar">
    <w:name w:val="Encabezado Car"/>
    <w:rPr>
      <w:rFonts w:ascii="Arial" w:hAnsi="Arial"/>
      <w:szCs w:val="24"/>
    </w:rPr>
  </w:style>
  <w:style w:type="character" w:styleId="Hipervnculo">
    <w:name w:val="Hyperlink"/>
    <w:basedOn w:val="Fuentedeprrafopredeter"/>
    <w:rPr>
      <w:rFonts w:ascii="Arial" w:hAnsi="Arial"/>
      <w:color w:val="E4002B"/>
      <w:u w:val="none"/>
    </w:rPr>
  </w:style>
  <w:style w:type="character" w:styleId="Hipervnculovisitado">
    <w:name w:val="FollowedHyperlink"/>
    <w:basedOn w:val="Fuentedeprrafopredeter"/>
    <w:rPr>
      <w:color w:val="E4002B"/>
      <w:u w:val="non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hyperlink" Target="http://www.ugt-sp.es" TargetMode="External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UGT%20INFORMA%202026</Template>
  <TotalTime>4</TotalTime>
  <Pages>2</Pages>
  <Words>23</Words>
  <Characters>131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prensa UGT</dc:title>
  <dc:subject>Comunicado de prensa UGT</dc:subject>
  <dc:creator>UGT SP EUSKADI</dc:creator>
  <cp:lastModifiedBy>UGT SP EUSKADI</cp:lastModifiedBy>
  <cp:revision>2</cp:revision>
  <cp:lastPrinted>2017-03-28T09:37:00Z</cp:lastPrinted>
  <dcterms:created xsi:type="dcterms:W3CDTF">2026-03-21T07:42:00Z</dcterms:created>
  <dcterms:modified xsi:type="dcterms:W3CDTF">2026-03-21T07:42:00Z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0x0101007813180708D9E149AB4CB8610F53FC18</vt:lpwstr>
  </property>
</Properties>
</file>